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A0" w:rsidRDefault="009B1FA0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 И ПРАВЛЕНИЯ НАЦИОНАЛЬНОГО БАНКА РЕСПУБЛИКИ БЕЛАРУСЬ</w:t>
      </w:r>
    </w:p>
    <w:p w:rsidR="009B1FA0" w:rsidRDefault="009B1FA0">
      <w:pPr>
        <w:pStyle w:val="newncpi"/>
        <w:ind w:firstLine="0"/>
        <w:jc w:val="center"/>
      </w:pPr>
      <w:r>
        <w:rPr>
          <w:rStyle w:val="datepr"/>
        </w:rPr>
        <w:t>30 июня 2016 г.</w:t>
      </w:r>
      <w:r>
        <w:rPr>
          <w:rStyle w:val="number"/>
        </w:rPr>
        <w:t xml:space="preserve"> № </w:t>
      </w:r>
      <w:bookmarkStart w:id="0" w:name="_GoBack"/>
      <w:r>
        <w:rPr>
          <w:rStyle w:val="number"/>
        </w:rPr>
        <w:t>13/365</w:t>
      </w:r>
      <w:bookmarkEnd w:id="0"/>
    </w:p>
    <w:p w:rsidR="009B1FA0" w:rsidRDefault="009B1FA0">
      <w:pPr>
        <w:pStyle w:val="titlencpi"/>
      </w:pPr>
      <w:r>
        <w:t>О взаимодействии таможенных органов и банков, небанковских кредитно-финансовых организаций, поставщиков платежных услуг при направлении и получении электронных документов</w:t>
      </w:r>
    </w:p>
    <w:p w:rsidR="009B1FA0" w:rsidRDefault="009B1FA0">
      <w:pPr>
        <w:pStyle w:val="changei"/>
      </w:pPr>
      <w:r>
        <w:t>Изменения и дополнения:</w:t>
      </w:r>
    </w:p>
    <w:p w:rsidR="009B1FA0" w:rsidRDefault="009B1FA0">
      <w:pPr>
        <w:pStyle w:val="changeadd"/>
      </w:pPr>
      <w:r>
        <w:t>Постановление Государственного таможенного комитета Республики Беларусь и Правления Национального банка Республики Беларусь от 19 декабря 2017 г. № 25/513 (зарегистрировано в Национальном реестре - № 8/32674 от 29.12.2017 г.) &lt;W21732674&gt; - внесены изменения и дополнения, вступившие в силу 1 января 2018 г., за исключением изменений и дополнений, которые вступят в силу 1 марта 2018 г.;</w:t>
      </w:r>
    </w:p>
    <w:p w:rsidR="009B1FA0" w:rsidRDefault="009B1FA0">
      <w:pPr>
        <w:pStyle w:val="changeadd"/>
      </w:pPr>
      <w:r>
        <w:t>Постановление Государственного таможенного комитета Республики Беларусь и Правления Национального банка Республики Беларусь от 19 декабря 2017 г. № 25/513 (зарегистрировано в Национальном реестре - № 8/32674 от 29.12.2017 г.) &lt;W21732674&gt; - внесены изменения и дополнения, вступившие в силу 1 января 2018 г. и 1 марта 2018 г.;</w:t>
      </w:r>
    </w:p>
    <w:p w:rsidR="009B1FA0" w:rsidRDefault="009B1FA0">
      <w:pPr>
        <w:pStyle w:val="changeadd"/>
      </w:pPr>
      <w:r>
        <w:t>Постановление Государственного таможенного комитета Республики Беларусь и Правления Национального банка Республики Беларусь от 28 августа 2019 г. № 41/351 (зарегистрировано в Национальном реестре - № 8/34537 от 02.09.2019 г.) &lt;W21934537&gt;;</w:t>
      </w:r>
    </w:p>
    <w:p w:rsidR="009B1FA0" w:rsidRDefault="009B1FA0">
      <w:pPr>
        <w:pStyle w:val="changeadd"/>
      </w:pPr>
      <w:r>
        <w:t>Постановление Государственного таможенного комитета Республики Беларусь и Правления Национального банка Республики Беларусь от 26 декабря 2019 г. № 63/533 (зарегистрировано в Национальном реестре - № 8/35032 от 24.01.2020 г.) &lt;W22035032&gt;;</w:t>
      </w:r>
    </w:p>
    <w:p w:rsidR="009B1FA0" w:rsidRDefault="009B1FA0">
      <w:pPr>
        <w:pStyle w:val="changeadd"/>
      </w:pPr>
      <w:r>
        <w:t>Постановление Государственного таможенного комитета Республики Беларусь и Правления Национального банка Республики Беларусь от 25 мая 2021 г. № 13/136 (зарегистрировано в Национальном реестре - № 8/36766 от 09.06.2021 г.) &lt;W22136766&gt;;</w:t>
      </w:r>
    </w:p>
    <w:p w:rsidR="009B1FA0" w:rsidRDefault="009B1FA0">
      <w:pPr>
        <w:pStyle w:val="changeadd"/>
      </w:pPr>
      <w:r>
        <w:t>Постановление Государственного таможенного комитета Республики Беларусь и Национального банка Республики Беларусь от 22 июля 2022 г. № 72/263 (зарегистрировано в Национальном реестре - № 8/38458 от 29.07.2022 г.) &lt;W22238458&gt;;</w:t>
      </w:r>
    </w:p>
    <w:p w:rsidR="009B1FA0" w:rsidRDefault="009B1FA0">
      <w:pPr>
        <w:pStyle w:val="changeadd"/>
      </w:pPr>
      <w:r>
        <w:t>Постановление Государственного таможенного комитета Республики Беларусь и Правления Национального банка Республики Беларусь от 24 апреля 2025 г. № 16/95 (зарегистрировано в Национальном реестре - № 8/43296 от 15.05.2025 г.) &lt;W22543296&gt;</w:t>
      </w:r>
    </w:p>
    <w:p w:rsidR="009B1FA0" w:rsidRDefault="009B1FA0">
      <w:pPr>
        <w:pStyle w:val="newncpi"/>
      </w:pPr>
      <w:r>
        <w:t> </w:t>
      </w:r>
    </w:p>
    <w:p w:rsidR="009B1FA0" w:rsidRDefault="009B1FA0">
      <w:pPr>
        <w:pStyle w:val="newncpi"/>
      </w:pPr>
      <w:r>
        <w:t>На основании части второй пункта 7 статьи 56 и части второй пункта 7 статьи 86 Налогового кодекса Республики Беларусь, подпункта 10.7 пункта 10 Положения о Государственном таможенном комитете Республики Беларусь, утвержденного Указом Президента Республики Беларусь от 21 апреля 2008 г. № 228, части второй статьи 39 Банковского кодекса Республики Беларусь Государственный таможенный комитет Республики Беларусь и Правление Национального банка Республики Беларусь ПОСТАНОВЛЯЮТ:</w:t>
      </w:r>
    </w:p>
    <w:p w:rsidR="009B1FA0" w:rsidRDefault="009B1FA0">
      <w:pPr>
        <w:pStyle w:val="point"/>
      </w:pPr>
      <w:r>
        <w:t>1. Утвердить:</w:t>
      </w:r>
    </w:p>
    <w:p w:rsidR="009B1FA0" w:rsidRDefault="009B1FA0">
      <w:pPr>
        <w:pStyle w:val="newncpi"/>
      </w:pPr>
      <w:r>
        <w:lastRenderedPageBreak/>
        <w:t>Инструкцию о порядке передачи, приема и обработки решений таможенных органов, созданных в виде электронного документа (прилагается);</w:t>
      </w:r>
    </w:p>
    <w:p w:rsidR="009B1FA0" w:rsidRDefault="009B1FA0">
      <w:pPr>
        <w:pStyle w:val="newncpi"/>
      </w:pPr>
      <w:r>
        <w:t>Инструкцию о порядке представления сведений по запросам таможенных органов (прилагается).</w:t>
      </w:r>
    </w:p>
    <w:p w:rsidR="009B1FA0" w:rsidRDefault="009B1FA0">
      <w:pPr>
        <w:pStyle w:val="point"/>
      </w:pPr>
      <w:r>
        <w:t>2. Настоящее постановление вступает в силу с 1 января 2018 г.</w:t>
      </w:r>
    </w:p>
    <w:p w:rsidR="009B1FA0" w:rsidRDefault="009B1FA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2807"/>
        <w:gridCol w:w="2721"/>
      </w:tblGrid>
      <w:tr w:rsidR="009B1FA0"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B1FA0" w:rsidRDefault="009B1FA0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 xml:space="preserve">Председатель Государственного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 xml:space="preserve">таможенного комитета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9B1FA0" w:rsidRDefault="009B1FA0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Ю.А.Сенько</w:t>
            </w:r>
          </w:p>
        </w:tc>
        <w:tc>
          <w:tcPr>
            <w:tcW w:w="1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1FA0" w:rsidRDefault="009B1FA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5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B1FA0" w:rsidRDefault="009B1FA0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 xml:space="preserve">Председатель Правления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 xml:space="preserve">Национального банка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9B1FA0" w:rsidRDefault="009B1FA0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П.В.Каллаур</w:t>
            </w:r>
          </w:p>
        </w:tc>
      </w:tr>
    </w:tbl>
    <w:p w:rsidR="009B1FA0" w:rsidRDefault="009B1FA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3969"/>
      </w:tblGrid>
      <w:tr w:rsidR="009B1FA0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1FA0" w:rsidRDefault="009B1FA0">
            <w:pPr>
              <w:pStyle w:val="cap1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1FA0" w:rsidRDefault="009B1FA0">
            <w:pPr>
              <w:pStyle w:val="capu1"/>
            </w:pPr>
            <w:r>
              <w:t>УТВЕРЖДЕНО</w:t>
            </w:r>
          </w:p>
          <w:p w:rsidR="009B1FA0" w:rsidRDefault="009B1FA0">
            <w:pPr>
              <w:pStyle w:val="cap1"/>
            </w:pPr>
            <w:r>
              <w:t>Постановление</w:t>
            </w:r>
            <w:r>
              <w:br/>
              <w:t>Государственного таможенного комитета</w:t>
            </w:r>
            <w:r>
              <w:br/>
              <w:t>Республики Беларусь</w:t>
            </w:r>
            <w:r>
              <w:br/>
              <w:t>и Правления Национального банка</w:t>
            </w:r>
            <w:r>
              <w:br/>
              <w:t>Республики Беларусь</w:t>
            </w:r>
            <w:r>
              <w:br/>
              <w:t>30.06.2016 № 13/365</w:t>
            </w:r>
            <w:r>
              <w:br/>
              <w:t>(в редакции постановления</w:t>
            </w:r>
            <w:r>
              <w:br/>
              <w:t>Государственного таможенного комитета</w:t>
            </w:r>
            <w:r>
              <w:br/>
              <w:t>Республики Беларусь</w:t>
            </w:r>
            <w:r>
              <w:br/>
              <w:t>и Правления Национального банка</w:t>
            </w:r>
            <w:r>
              <w:br/>
              <w:t>Республики Беларусь</w:t>
            </w:r>
            <w:r>
              <w:br/>
              <w:t>24.04.2025 № 16/95)</w:t>
            </w:r>
          </w:p>
        </w:tc>
      </w:tr>
    </w:tbl>
    <w:p w:rsidR="009B1FA0" w:rsidRDefault="009B1FA0">
      <w:pPr>
        <w:pStyle w:val="titleu"/>
      </w:pPr>
      <w:r>
        <w:t>ИНСТРУКЦИЯ</w:t>
      </w:r>
      <w:r>
        <w:br/>
        <w:t>о порядке передачи, приема и обработки решений таможенных органов, созданных в виде электронного документа</w:t>
      </w:r>
    </w:p>
    <w:p w:rsidR="009B1FA0" w:rsidRDefault="009B1FA0">
      <w:pPr>
        <w:pStyle w:val="point"/>
      </w:pPr>
      <w:r>
        <w:t>1. Настоящая Инструкция определяет порядок передачи, приема и обработки решений таможенных органов, созданных в виде электронного документа (далее – электронные документы таможенных органов) и направленных в банк Республики Беларусь, небанковскую кредитно-финансовую организацию Республики Беларусь (далее, если не установлено иное, – банк), поставщику платежных услуг, который не является банком Республики Беларусь или небанковской кредитно-финансовой организацией Республики Беларусь и осуществляет открытие электронных кошельков пользователям платежных услуг (далее – поставщик платежных услуг).</w:t>
      </w:r>
    </w:p>
    <w:p w:rsidR="009B1FA0" w:rsidRDefault="009B1FA0">
      <w:pPr>
        <w:pStyle w:val="point"/>
      </w:pPr>
      <w:r>
        <w:t>2. Для целей настоящей Инструкции:</w:t>
      </w:r>
    </w:p>
    <w:p w:rsidR="009B1FA0" w:rsidRDefault="009B1FA0">
      <w:pPr>
        <w:pStyle w:val="underpoint"/>
      </w:pPr>
      <w:r>
        <w:t>2.1. к решениям таможенных органов относятся:</w:t>
      </w:r>
    </w:p>
    <w:p w:rsidR="009B1FA0" w:rsidRDefault="009B1FA0">
      <w:pPr>
        <w:pStyle w:val="newncpi"/>
      </w:pPr>
      <w:r>
        <w:t>решение о приостановлении операций по счетам, электронным кошелькам, принятое в форме постановления в соответствии с пунктом 2 и частью первой пункта 7 статьи 56 Налогового кодекса Республики Беларусь (далее – постановление о приостановлении операций);</w:t>
      </w:r>
    </w:p>
    <w:p w:rsidR="009B1FA0" w:rsidRDefault="009B1FA0">
      <w:pPr>
        <w:pStyle w:val="newncpi"/>
      </w:pPr>
      <w:r>
        <w:t>решение об отмене постановления о приостановлении операций, принятое в форме постановления в соответствии с пунктом 6 и частью первой пункта 7 статьи 56 Налогового кодекса Республики Беларусь (далее – постановление об отмене приостановления операций);</w:t>
      </w:r>
    </w:p>
    <w:p w:rsidR="009B1FA0" w:rsidRDefault="009B1FA0">
      <w:pPr>
        <w:pStyle w:val="underpoint"/>
      </w:pPr>
      <w:r>
        <w:t>2.2. к электронным документам банков, поставщиков платежных услуг, создаваемым при приеме и обработке электронных документов таможенных органов, относится уведомление о приеме к исполнению либо причине непринятия к исполнению постановления о приостановлении операций, постановления об отмене приостановления операций (далее – электронное уведомление о приеме к исполнению (причине непринятия к исполнению) электронных документов таможенных органов);</w:t>
      </w:r>
    </w:p>
    <w:p w:rsidR="009B1FA0" w:rsidRDefault="009B1FA0">
      <w:pPr>
        <w:pStyle w:val="underpoint"/>
      </w:pPr>
      <w:r>
        <w:lastRenderedPageBreak/>
        <w:t>2.3. термины «подлинность электронного документа», «средство электронной цифровой подписи», «целостность электронного документа», «электронная цифровая подпись», «электронный документ» используются в значениях, определенных соответственно абзацами седьмым, одиннадцатым, двенадцатым, пятнадцатым и шестнадцатым статьи 1 Закона Республики Беларусь от 28 декабря 2009 г. № 113-З «Об электронном документе и электронной цифровой подписи»;</w:t>
      </w:r>
    </w:p>
    <w:p w:rsidR="009B1FA0" w:rsidRDefault="009B1FA0">
      <w:pPr>
        <w:pStyle w:val="underpoint"/>
      </w:pPr>
      <w:r>
        <w:t>2.4. термины «пользователь платежных услуг» и «поставщик платежных услуг» используются в значениях, определенных соответственно подпунктами 1.28 и 1.30 пункта 1 статьи 2 Закона Республики Беларусь от 19 апреля 2022 г. № 164-З «О платежных системах и платежных услугах».</w:t>
      </w:r>
    </w:p>
    <w:p w:rsidR="009B1FA0" w:rsidRDefault="009B1FA0">
      <w:pPr>
        <w:pStyle w:val="point"/>
      </w:pPr>
      <w:r>
        <w:t>3. Подтверждение целостности и подлинности электронных документов таможенных органов и электронных документов банков (поставщиков платежных услуг) осуществляется путем применения сертифицированных средств электронной цифровой подписи (далее – ЭЦП), используемых в автоматизированных системах банков (поставщиков платежных услуг) и Национального банка.</w:t>
      </w:r>
    </w:p>
    <w:p w:rsidR="009B1FA0" w:rsidRDefault="009B1FA0">
      <w:pPr>
        <w:pStyle w:val="point"/>
      </w:pPr>
      <w:r>
        <w:t>4. Передача электронных документов таможенных органов в банки, обслуживающие счета, электронные кошельки плательщиков, и (или) поставщикам платежных услуг, открывшим плательщикам электронные кошельки, осуществляется посредством программно-технического комплекса «Шлюз» системы передачи финансовой информации Национального банка (далее – ПТК «Шлюз»).</w:t>
      </w:r>
    </w:p>
    <w:p w:rsidR="009B1FA0" w:rsidRDefault="009B1FA0">
      <w:pPr>
        <w:pStyle w:val="newncpi"/>
      </w:pPr>
      <w:r>
        <w:t>Обмен электронными документами между таможенными органами и банками (поставщиками платежных услуг) осуществляется с использованием технологии обмена межбанковской корреспонденцией в форме электронных документов и документов в электронном виде (далее – технология ОМК) посредством системы передачи финансовой информации Национального банка, функционирование которой обеспечивает открытое акционерное общество «Белорусский межбанковский расчетный центр».</w:t>
      </w:r>
    </w:p>
    <w:p w:rsidR="009B1FA0" w:rsidRDefault="009B1FA0">
      <w:pPr>
        <w:pStyle w:val="newncpi"/>
      </w:pPr>
      <w:r>
        <w:t>При обмене электронными документами таможенных органов и электронными документами банков (поставщиков платежных услуг) используются электронные документы, содержащие следующие финансовые сообщения МХ (далее – МХ-сообщение):</w:t>
      </w:r>
    </w:p>
    <w:p w:rsidR="009B1FA0" w:rsidRDefault="009B1FA0">
      <w:pPr>
        <w:pStyle w:val="newncpi"/>
      </w:pPr>
      <w:r>
        <w:t>MX acmt.002 «Подтверждение изменения режима функционирования счета»;</w:t>
      </w:r>
    </w:p>
    <w:p w:rsidR="009B1FA0" w:rsidRDefault="009B1FA0">
      <w:pPr>
        <w:pStyle w:val="newncpi"/>
      </w:pPr>
      <w:r>
        <w:t>MX acmt.003 «Изменение режима функционирования счета»;</w:t>
      </w:r>
    </w:p>
    <w:p w:rsidR="009B1FA0" w:rsidRDefault="009B1FA0">
      <w:pPr>
        <w:pStyle w:val="newncpi"/>
      </w:pPr>
      <w:r>
        <w:t>MX acmt.006 «Отчет о состоянии управления счетом».</w:t>
      </w:r>
    </w:p>
    <w:p w:rsidR="009B1FA0" w:rsidRDefault="009B1FA0">
      <w:pPr>
        <w:pStyle w:val="newncpi"/>
      </w:pPr>
      <w:r>
        <w:t>Заполнение элементов МХ-сообщений, указанных в части третьей настоящего пункта, и их передача осуществляются согласно технологии ОМК.</w:t>
      </w:r>
    </w:p>
    <w:p w:rsidR="009B1FA0" w:rsidRDefault="009B1FA0">
      <w:pPr>
        <w:pStyle w:val="point"/>
      </w:pPr>
      <w:r>
        <w:t>5. Программные средства, используемые для создания, передачи, приема, обработки, хранения и защиты электронных документов таможенных органов и электронных документов банков (поставщиков платежных услуг), должны обеспечивать возможность применения технологии ОМК.</w:t>
      </w:r>
    </w:p>
    <w:p w:rsidR="009B1FA0" w:rsidRDefault="009B1FA0">
      <w:pPr>
        <w:pStyle w:val="point"/>
      </w:pPr>
      <w:r>
        <w:t>6. Таможенные органы и банки (поставщики платежных услуг) обеспечивают защиту электронных документов таможенных органов и электронных документов банков (поставщиков платежных услуг), содержащейся в них информации при использовании информационных систем и сетей для организации электронного документооборота в соответствии с законодательством об информации, информатизации и защите информации.</w:t>
      </w:r>
    </w:p>
    <w:p w:rsidR="009B1FA0" w:rsidRDefault="009B1FA0">
      <w:pPr>
        <w:pStyle w:val="newncpi"/>
      </w:pPr>
      <w:r>
        <w:t>Хранение электронных документов осуществляется в соответствии с требованиями законодательства в сфере архивного дела и делопроизводства.</w:t>
      </w:r>
    </w:p>
    <w:p w:rsidR="009B1FA0" w:rsidRDefault="009B1FA0">
      <w:pPr>
        <w:pStyle w:val="point"/>
      </w:pPr>
      <w:r>
        <w:t>7. Электронные документы таможенных органов создаются с использованием автоматизированной информационной системы таможенного органа. В автоматизированной информационной системе таможенного органа фиксируются дата и время создания электронного документа таможенного органа.</w:t>
      </w:r>
    </w:p>
    <w:p w:rsidR="009B1FA0" w:rsidRDefault="009B1FA0">
      <w:pPr>
        <w:pStyle w:val="point"/>
      </w:pPr>
      <w:r>
        <w:t xml:space="preserve">8. Минская центральная таможня загружает созданные таможенным органом электронные документы в ПТК «Шлюз» и удостоверяет их ЭЦП, выработанной </w:t>
      </w:r>
      <w:r>
        <w:lastRenderedPageBreak/>
        <w:t>с использованием открытого ключа, сертификат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9B1FA0" w:rsidRDefault="009B1FA0">
      <w:pPr>
        <w:pStyle w:val="point"/>
      </w:pPr>
      <w:r>
        <w:t>9. Удостоверенные в соответствии с пунктом 8 настоящей Инструкции электронные документы таможенных органов в автоматизированном режиме с использованием ПТК «Шлюз» и технологии ОМК направляются в банк, в котором плательщику открыт счет, электронный кошелек (далее – банк плательщика), и (или) поставщику платежных услуг, у которого плательщику открыт электронный кошелек (далее – поставщик платежных услуг плательщика), в сроки, установленные пунктами 4 и 6 статьи 56 Налогового кодекса Республики Беларусь.</w:t>
      </w:r>
    </w:p>
    <w:p w:rsidR="009B1FA0" w:rsidRDefault="009B1FA0">
      <w:pPr>
        <w:pStyle w:val="point"/>
      </w:pPr>
      <w:r>
        <w:t>10. Реквизиты электронных документов таможенных органов должны соответствовать реквизитам документов, оформленных на бумажном носителе по формам, установленным в приложениях 1</w:t>
      </w:r>
      <w:r>
        <w:rPr>
          <w:vertAlign w:val="superscript"/>
        </w:rPr>
        <w:t>1</w:t>
      </w:r>
      <w:r>
        <w:t xml:space="preserve"> и 2</w:t>
      </w:r>
      <w:r>
        <w:rPr>
          <w:vertAlign w:val="superscript"/>
        </w:rPr>
        <w:t>1</w:t>
      </w:r>
      <w:r>
        <w:t xml:space="preserve"> к постановлению Министерства по налогам и сборам Республики Беларусь от 31 декабря 2010 г. № 97 «Об установлении форм документов».</w:t>
      </w:r>
    </w:p>
    <w:p w:rsidR="009B1FA0" w:rsidRDefault="009B1FA0">
      <w:pPr>
        <w:pStyle w:val="point"/>
      </w:pPr>
      <w:r>
        <w:t>11. Банк плательщика (поставщик платежных услуг плательщика) при получении электронных документов таможенных органов проверяет целостность и подлинность ЭЦП Минской центральной таможни для каждого электронного документа.</w:t>
      </w:r>
    </w:p>
    <w:p w:rsidR="009B1FA0" w:rsidRDefault="009B1FA0">
      <w:pPr>
        <w:pStyle w:val="point"/>
      </w:pPr>
      <w:r>
        <w:t>12. При обработке постановления о приостановлении операций, постановления об отмене приостановления операций банк плательщика (поставщик платежных услуг плательщика) проверяет наличие в них следующих сведений:</w:t>
      </w:r>
    </w:p>
    <w:p w:rsidR="009B1FA0" w:rsidRDefault="009B1FA0">
      <w:pPr>
        <w:pStyle w:val="newncpi"/>
      </w:pPr>
      <w:r>
        <w:t>наименование (фамилия, инициалы) плательщика;</w:t>
      </w:r>
    </w:p>
    <w:p w:rsidR="009B1FA0" w:rsidRDefault="009B1FA0">
      <w:pPr>
        <w:pStyle w:val="newncpi"/>
      </w:pPr>
      <w:r>
        <w:t>учетный номер плательщика;</w:t>
      </w:r>
    </w:p>
    <w:p w:rsidR="009B1FA0" w:rsidRDefault="009B1FA0">
      <w:pPr>
        <w:pStyle w:val="newncpi"/>
      </w:pPr>
      <w:r>
        <w:t>номер банковского счета (электронного кошелька);</w:t>
      </w:r>
    </w:p>
    <w:p w:rsidR="009B1FA0" w:rsidRDefault="009B1FA0">
      <w:pPr>
        <w:pStyle w:val="newncpi"/>
      </w:pPr>
      <w:r>
        <w:t>реквизиты банка плательщика (поставщика платежных услуг плательщика).</w:t>
      </w:r>
    </w:p>
    <w:p w:rsidR="009B1FA0" w:rsidRDefault="009B1FA0">
      <w:pPr>
        <w:pStyle w:val="point"/>
      </w:pPr>
      <w:r>
        <w:t>13. Постановление о приостановлении операций, постановление об отмене приостановления операций не принимаются банком плательщика (поставщиком платежных услуг плательщика), если:</w:t>
      </w:r>
    </w:p>
    <w:p w:rsidR="009B1FA0" w:rsidRDefault="009B1FA0">
      <w:pPr>
        <w:pStyle w:val="newncpi"/>
      </w:pPr>
      <w:r>
        <w:t>указанный в постановлении о приостановлении операций банковский счет (электронный кошелек) закрыт банком плательщика (поставщиком платежных услуг плательщика);</w:t>
      </w:r>
    </w:p>
    <w:p w:rsidR="009B1FA0" w:rsidRDefault="009B1FA0">
      <w:pPr>
        <w:pStyle w:val="newncpi"/>
      </w:pPr>
      <w:r>
        <w:t>указанные в электронном документе таможенного органа номер банковского счета (электронного кошелька) и (или) учетный номер плательщика не соответствуют имеющимся в банке плательщика (у поставщика платежных услуг плательщика) реквизитам банковского счета (электронного кошелька) и (или) учетному номеру плательщика, в отношении которого поступило постановление о приостановлении операций, постановление об отмене приостановления операций;</w:t>
      </w:r>
    </w:p>
    <w:p w:rsidR="009B1FA0" w:rsidRDefault="009B1FA0">
      <w:pPr>
        <w:pStyle w:val="newncpi"/>
      </w:pPr>
      <w:r>
        <w:t>номер и дата постановления о приостановлении операций, указанные в постановлении об отмене приостановления операций, не совпадают с номером и датой постановления о приостановлении операций, имеющегося в банке плательщика (у поставщика платежных услуг плательщика);</w:t>
      </w:r>
    </w:p>
    <w:p w:rsidR="009B1FA0" w:rsidRDefault="009B1FA0">
      <w:pPr>
        <w:pStyle w:val="newncpi"/>
      </w:pPr>
      <w:r>
        <w:t>в постановлении о приостановлении операций указаны реквизиты банковского счета плательщика, операции по которому не приостанавливаются в соответствии с пунктом 3 статьи 56 Налогового кодекса Республики Беларусь;</w:t>
      </w:r>
    </w:p>
    <w:p w:rsidR="009B1FA0" w:rsidRDefault="009B1FA0">
      <w:pPr>
        <w:pStyle w:val="newncpi"/>
      </w:pPr>
      <w:r>
        <w:t>целостность и подлинность электронного документа не подтверждены ЭЦП Минской центральной таможни.</w:t>
      </w:r>
    </w:p>
    <w:p w:rsidR="009B1FA0" w:rsidRDefault="009B1FA0">
      <w:pPr>
        <w:pStyle w:val="point"/>
      </w:pPr>
      <w:r>
        <w:t>14. По каждому принятому (не принятому) электронному документу таможенного органа банк плательщика (поставщик платежных услуг плательщика) создает в день поступления электронного документа электронное уведомление о приеме к исполнению (причине непринятия к исполнению) электронных документов таможенного органа. В электронном уведомлении о приеме к исполнению указываются:</w:t>
      </w:r>
    </w:p>
    <w:p w:rsidR="009B1FA0" w:rsidRDefault="009B1FA0">
      <w:pPr>
        <w:pStyle w:val="newncpi"/>
      </w:pPr>
      <w:r>
        <w:t>вид электронного документа таможенного органа (постановление о приостановлении операций либо постановление об отмене приостановления операций);</w:t>
      </w:r>
    </w:p>
    <w:p w:rsidR="009B1FA0" w:rsidRDefault="009B1FA0">
      <w:pPr>
        <w:pStyle w:val="newncpi"/>
      </w:pPr>
      <w:r>
        <w:lastRenderedPageBreak/>
        <w:t>реквизиты банка плательщика (поставщика платежных услуг плательщика);</w:t>
      </w:r>
    </w:p>
    <w:p w:rsidR="009B1FA0" w:rsidRDefault="009B1FA0">
      <w:pPr>
        <w:pStyle w:val="newncpi"/>
      </w:pPr>
      <w:r>
        <w:t>наименование (фамилия, собственное имя, отчество, если таковое имеется) плательщика;</w:t>
      </w:r>
    </w:p>
    <w:p w:rsidR="009B1FA0" w:rsidRDefault="009B1FA0">
      <w:pPr>
        <w:pStyle w:val="newncpi"/>
      </w:pPr>
      <w:r>
        <w:t>учетный номер плательщика;</w:t>
      </w:r>
    </w:p>
    <w:p w:rsidR="009B1FA0" w:rsidRDefault="009B1FA0">
      <w:pPr>
        <w:pStyle w:val="newncpi"/>
      </w:pPr>
      <w:r>
        <w:t>номер электронного документа таможенного органа.</w:t>
      </w:r>
    </w:p>
    <w:p w:rsidR="009B1FA0" w:rsidRDefault="009B1FA0">
      <w:pPr>
        <w:pStyle w:val="newncpi"/>
      </w:pPr>
      <w:r>
        <w:t>При направлении электронного уведомления о причине непринятия к исполнению электронного документа таможенного органа указывается причина непринятия к исполнению.</w:t>
      </w:r>
    </w:p>
    <w:p w:rsidR="009B1FA0" w:rsidRDefault="009B1FA0">
      <w:pPr>
        <w:pStyle w:val="point"/>
      </w:pPr>
      <w:r>
        <w:t>15. Для передачи электронного уведомления о приеме к исполнению (причине непринятия к исполнению) электронных документов таможенных органов используются следующие МХ-сообщения:</w:t>
      </w:r>
    </w:p>
    <w:p w:rsidR="009B1FA0" w:rsidRDefault="009B1FA0">
      <w:pPr>
        <w:pStyle w:val="newncpi"/>
      </w:pPr>
      <w:r>
        <w:t>MX acmt.002 «Подтверждение изменения режима функционирования счета»;</w:t>
      </w:r>
    </w:p>
    <w:p w:rsidR="009B1FA0" w:rsidRDefault="009B1FA0">
      <w:pPr>
        <w:pStyle w:val="newncpi"/>
      </w:pPr>
      <w:r>
        <w:t>MX acmt.006 «Отчет о состоянии управления счетом».</w:t>
      </w:r>
    </w:p>
    <w:p w:rsidR="009B1FA0" w:rsidRDefault="009B1FA0">
      <w:pPr>
        <w:pStyle w:val="point"/>
      </w:pPr>
      <w:r>
        <w:t>16. Банк плательщика (поставщик платежных услуг плательщика) удостоверяет электронное уведомление о приеме к исполнению (причине непринятия к исполнению) электронных документов таможенных органов ЭЦП, выработанной с использованием открытого ключа, сертификат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Беларусь, и не позднее 15 минут с момента завершения проверки электронного документа таможенного органа передает данное уведомление в Минскую центральную таможню, которая загружает его в автоматизированную информационную систему таможенного органа.</w:t>
      </w:r>
    </w:p>
    <w:p w:rsidR="009B1FA0" w:rsidRDefault="009B1FA0">
      <w:pPr>
        <w:pStyle w:val="point"/>
      </w:pPr>
      <w:r>
        <w:t>17. В автоматизированной системе банка плательщика (поставщика платежных услуг плательщика) фиксируются дата и время получения электронного документа таможенного органа и </w:t>
      </w:r>
      <w:proofErr w:type="gramStart"/>
      <w:r>
        <w:t>дата</w:t>
      </w:r>
      <w:proofErr w:type="gramEnd"/>
      <w:r>
        <w:t xml:space="preserve"> и время передачи электронного документа банка плательщика (поставщика платежных услуг плательщика).</w:t>
      </w:r>
    </w:p>
    <w:p w:rsidR="009B1FA0" w:rsidRDefault="009B1FA0">
      <w:pPr>
        <w:pStyle w:val="point"/>
      </w:pPr>
      <w:r>
        <w:t>18. Таможенный орган в день получения электронного уведомления о причине непринятия к исполнению электронного документа таможенного органа при необходимости (наличии оснований) повторно направляет в банк плательщика (поставщику платежных услуг плательщика) электронный документ таможенного органа с устранением причин его непринятия.</w:t>
      </w:r>
    </w:p>
    <w:p w:rsidR="009B1FA0" w:rsidRDefault="009B1FA0">
      <w:pPr>
        <w:pStyle w:val="newncpi"/>
      </w:pPr>
      <w:r>
        <w:t>Электронное уведомление о причине непринятия к исполнению электронного документа таможенного органа, поступившее в таможенный орган после 15 часов 30 минут, считается поступившим на следующий рабочий день.</w:t>
      </w:r>
    </w:p>
    <w:p w:rsidR="009B1FA0" w:rsidRDefault="009B1FA0">
      <w:pPr>
        <w:pStyle w:val="point"/>
      </w:pPr>
      <w:r>
        <w:t>19. Не принятые банком плательщика (поставщиком платежных услуг плательщика) электронные документы таможенных органов не подлежат возврату в таможенный орган.</w:t>
      </w:r>
    </w:p>
    <w:p w:rsidR="009B1FA0" w:rsidRDefault="009B1FA0">
      <w:pPr>
        <w:pStyle w:val="point"/>
      </w:pPr>
      <w:r>
        <w:t>20. Минская центральная таможня в течение рабочего дня в автоматизированном режиме с установленной периодичностью выгружает из ПТК «Шлюз» электронные документы банка плательщика (поставщика платежных услуг плательщика) и загружает их в автоматизированную информационную систему таможенного органа.</w:t>
      </w:r>
    </w:p>
    <w:p w:rsidR="009B1FA0" w:rsidRDefault="009B1FA0">
      <w:pPr>
        <w:pStyle w:val="point"/>
      </w:pPr>
      <w:r>
        <w:t>21. В случае невозможности приема и передачи электронных документов таможенных органов, электронных документов банка плательщика (поставщика платежных услуг плательщика) из-за сбоя в работе программного обеспечения, отсутствия связи, отсутствия электроснабжения банк плательщика (поставщик платежных услуг плательщика) в течение 30 минут после возникновения сбоя информирует об этом Минскую центральную таможню с использованием модуля передачи писем/телексов ПТК «Шлюз» либо по факсу. Минская центральная таможня, получив соответствующий телекс (факс), доводит информацию до таможенных органов.</w:t>
      </w:r>
    </w:p>
    <w:p w:rsidR="009B1FA0" w:rsidRDefault="009B1FA0">
      <w:pPr>
        <w:pStyle w:val="newncpi"/>
      </w:pPr>
      <w:r>
        <w:t>Информирование таможенных органов банком плательщика (поставщиком платежных услуг плательщика) об устранении причин возникшего сбоя осуществляется в порядке, определенном в части первой настоящего пункта.</w:t>
      </w:r>
    </w:p>
    <w:p w:rsidR="009B1FA0" w:rsidRDefault="009B1FA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3969"/>
      </w:tblGrid>
      <w:tr w:rsidR="009B1FA0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1FA0" w:rsidRDefault="009B1FA0">
            <w:pPr>
              <w:pStyle w:val="cap1"/>
            </w:pPr>
            <w:r>
              <w:lastRenderedPageBreak/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1FA0" w:rsidRDefault="009B1FA0">
            <w:pPr>
              <w:pStyle w:val="capu1"/>
            </w:pPr>
            <w:r>
              <w:t>УТВЕРЖДЕНО</w:t>
            </w:r>
          </w:p>
          <w:p w:rsidR="009B1FA0" w:rsidRDefault="009B1FA0">
            <w:pPr>
              <w:pStyle w:val="cap1"/>
            </w:pPr>
            <w:r>
              <w:t>Постановление</w:t>
            </w:r>
            <w:r>
              <w:br/>
              <w:t>Государственного таможенного комитета</w:t>
            </w:r>
            <w:r>
              <w:br/>
              <w:t>Республики Беларусь</w:t>
            </w:r>
            <w:r>
              <w:br/>
              <w:t>и Правления Национального банка</w:t>
            </w:r>
            <w:r>
              <w:br/>
              <w:t>Республики Беларусь</w:t>
            </w:r>
            <w:r>
              <w:br/>
              <w:t>30.06.2016 № 13/365</w:t>
            </w:r>
            <w:r>
              <w:br/>
              <w:t>(в редакции постановления</w:t>
            </w:r>
            <w:r>
              <w:br/>
              <w:t>Государственного таможенного комитета</w:t>
            </w:r>
            <w:r>
              <w:br/>
              <w:t>Республики Беларусь</w:t>
            </w:r>
            <w:r>
              <w:br/>
              <w:t>и Правления Национального банка</w:t>
            </w:r>
            <w:r>
              <w:br/>
              <w:t>Республики Беларусь</w:t>
            </w:r>
            <w:r>
              <w:br/>
              <w:t>24.04.2025 № 16/95)</w:t>
            </w:r>
          </w:p>
        </w:tc>
      </w:tr>
    </w:tbl>
    <w:p w:rsidR="009B1FA0" w:rsidRDefault="009B1FA0">
      <w:pPr>
        <w:pStyle w:val="titleu"/>
      </w:pPr>
      <w:r>
        <w:t>ИНСТРУКЦИЯ</w:t>
      </w:r>
      <w:r>
        <w:br/>
        <w:t>о порядке представления сведений по запросам таможенных органов</w:t>
      </w:r>
    </w:p>
    <w:p w:rsidR="009B1FA0" w:rsidRDefault="009B1FA0">
      <w:pPr>
        <w:pStyle w:val="point"/>
      </w:pPr>
      <w:r>
        <w:t>1. Настоящая Инструкция определяет порядок представления банками Республики Беларусь, небанковскими кредитно-финансовыми организациями Республики Беларусь (далее, если не установлено иное, – банк), поставщиками платежных услуг, которые не являются банком Республики Беларусь или небанковской кредитно-финансовой организацией Республики Беларусь и осуществляют открытие электронных кошельков пользователям платежных услуг (далее – поставщик платежных услуг), по запросу таможенного органа сведений о наличии у плательщиков счетов, электронных кошельков и (или) об остатках денежных средств, электронных денег на (в) них, о движении денежных средств по ним, а также сведений, имеющихся в банках о конкретных сделках, об операциях без открытия счета, электронного кошелька, имуществе плательщика, находящемся на хранении в банке.</w:t>
      </w:r>
    </w:p>
    <w:p w:rsidR="009B1FA0" w:rsidRDefault="009B1FA0">
      <w:pPr>
        <w:pStyle w:val="point"/>
      </w:pPr>
      <w:r>
        <w:t>2. Для целей настоящей Инструкции:</w:t>
      </w:r>
    </w:p>
    <w:p w:rsidR="009B1FA0" w:rsidRDefault="009B1FA0">
      <w:pPr>
        <w:pStyle w:val="underpoint"/>
      </w:pPr>
      <w:r>
        <w:t>2.1. под счетом понимается банковский счет, открытый плательщику на основании договора, заключенного с банком в порядке, установленном банковским законодательством, в том числе счет по учету вклада (депозита);</w:t>
      </w:r>
    </w:p>
    <w:p w:rsidR="009B1FA0" w:rsidRDefault="009B1FA0">
      <w:pPr>
        <w:pStyle w:val="underpoint"/>
      </w:pPr>
      <w:r>
        <w:t>2.2. термины «подлинность электронного документа», «средство электронной цифровой подписи», «целостность электронного документа», «электронная цифровая подпись», «электронный документ» используются в значениях, определенных соответственно абзацами седьмым, одиннадцатым, двенадцатым, пятнадцатым и шестнадцатым статьи 1 Закона Республики Беларусь от 28 декабря 2009 г. № 113-З «Об электронном документе и электронной цифровой подписи»;</w:t>
      </w:r>
    </w:p>
    <w:p w:rsidR="009B1FA0" w:rsidRDefault="009B1FA0">
      <w:pPr>
        <w:pStyle w:val="underpoint"/>
      </w:pPr>
      <w:r>
        <w:t>2.3. под электронными документами банков (поставщиков платежных услуг) понимаются:</w:t>
      </w:r>
    </w:p>
    <w:p w:rsidR="009B1FA0" w:rsidRDefault="009B1FA0">
      <w:pPr>
        <w:pStyle w:val="newncpi"/>
      </w:pPr>
      <w:r>
        <w:t>уведомления о приеме к исполнению либо о причине непринятия к исполнению запроса таможенного органа на получение сведений о движении денежных средств по счетам, электронных денег по электронным кошелькам плательщика (далее – электронное уведомление);</w:t>
      </w:r>
    </w:p>
    <w:p w:rsidR="009B1FA0" w:rsidRDefault="009B1FA0">
      <w:pPr>
        <w:pStyle w:val="newncpi"/>
      </w:pPr>
      <w:r>
        <w:t>сведения о движении денежных средств по счетам, электронных денег по электронным кошелькам плательщика (далее – движение денежных средств);</w:t>
      </w:r>
    </w:p>
    <w:p w:rsidR="009B1FA0" w:rsidRDefault="009B1FA0">
      <w:pPr>
        <w:pStyle w:val="underpoint"/>
      </w:pPr>
      <w:r>
        <w:t>2.4. термины «пользователь платежных услуг» и «поставщик платежных услуг» используются в значениях, определенных соответственно подпунктами 1.28 и 1.30 пункта 1 статьи 2 Закона Республики Беларусь от 19 апреля 2022 г. № 164-З «О платежных системах и платежных услугах».</w:t>
      </w:r>
    </w:p>
    <w:p w:rsidR="009B1FA0" w:rsidRDefault="009B1FA0">
      <w:pPr>
        <w:pStyle w:val="point"/>
      </w:pPr>
      <w:r>
        <w:t>3. Банки (поставщики платежных услуг) представляют таможенному органу:</w:t>
      </w:r>
    </w:p>
    <w:p w:rsidR="009B1FA0" w:rsidRDefault="009B1FA0">
      <w:pPr>
        <w:pStyle w:val="newncpi"/>
      </w:pPr>
      <w:r>
        <w:t xml:space="preserve">в письменной форме – сведения о наличии счетов, электронных кошельков и (или) об остатках денежных средств, электронных денег на (в) них, о конкретных сделках, </w:t>
      </w:r>
      <w:r>
        <w:lastRenderedPageBreak/>
        <w:t>об операциях без открытия счета, электронного кошелька, имуществе, находящемся на хранении в банке;</w:t>
      </w:r>
    </w:p>
    <w:p w:rsidR="009B1FA0" w:rsidRDefault="009B1FA0">
      <w:pPr>
        <w:pStyle w:val="newncpi"/>
      </w:pPr>
      <w:r>
        <w:t>в виде электронного документа – сведения о движении денежных средств, а при отсутствии возможности представить такие сведения в виде электронного документа они представляются в письменной форме.</w:t>
      </w:r>
    </w:p>
    <w:p w:rsidR="009B1FA0" w:rsidRDefault="009B1FA0">
      <w:pPr>
        <w:pStyle w:val="point"/>
      </w:pPr>
      <w:r>
        <w:t>4. Сведения, указанные в абзаце втором пункта 3 настоящей Инструкции, представляются на основании запроса таможенного органа, оформленного в письменной форме.</w:t>
      </w:r>
    </w:p>
    <w:p w:rsidR="009B1FA0" w:rsidRDefault="009B1FA0">
      <w:pPr>
        <w:pStyle w:val="newncpi"/>
      </w:pPr>
      <w:r>
        <w:t>Сведения, указанные в абзаце третьем пункта 3 настоящей Инструкции, представляются на основании запроса таможенного органа на получение сведений о движении денежных средств, сформированного в виде электронного документа (далее – запрос о движении денежных средств).</w:t>
      </w:r>
    </w:p>
    <w:p w:rsidR="009B1FA0" w:rsidRDefault="009B1FA0">
      <w:pPr>
        <w:pStyle w:val="point"/>
      </w:pPr>
      <w:r>
        <w:t>5. Передача в банки (поставщикам платежных услуг) запросов о движении денежных средств и прием электронных документов банков (поставщиков платежных услуг) осуществляются посредством программно-технического комплекса «Шлюз» системы передачи финансовой информации Национального банка (далее – ПТК «Шлюз»).</w:t>
      </w:r>
    </w:p>
    <w:p w:rsidR="009B1FA0" w:rsidRDefault="009B1FA0">
      <w:pPr>
        <w:pStyle w:val="newncpi"/>
      </w:pPr>
      <w:r>
        <w:t>Обмен электронными документами таможенных органов и электронными документами банков (поставщиков платежных услуг) осуществляется с использованием технологии обмена межбанковской корреспонденцией в форме электронных документов и документов в электронном виде (далее – технология ОМК) посредством системы передачи финансовой информации Национального банка, функционирование которой обеспечивает открытое акционерное общество «Белорусский межбанковский расчетный центр».</w:t>
      </w:r>
    </w:p>
    <w:p w:rsidR="009B1FA0" w:rsidRDefault="009B1FA0">
      <w:pPr>
        <w:pStyle w:val="newncpi"/>
      </w:pPr>
      <w:r>
        <w:t>При обмене электронными документами таможенных органов и электронными документами банков (поставщиков платежных услуг) используются электронные документы, содержащие следующие финансовые сообщения МХ (далее – МХ-сообщения):</w:t>
      </w:r>
    </w:p>
    <w:p w:rsidR="009B1FA0" w:rsidRDefault="009B1FA0">
      <w:pPr>
        <w:pStyle w:val="newncpi"/>
      </w:pPr>
      <w:r>
        <w:t>для передачи запроса о движении денежных средств – МХ camt.060 «Запрос о состоянии счета клиента»;</w:t>
      </w:r>
    </w:p>
    <w:p w:rsidR="009B1FA0" w:rsidRDefault="009B1FA0">
      <w:pPr>
        <w:pStyle w:val="newncpi"/>
      </w:pPr>
      <w:r>
        <w:t>для передачи сведений о движении денежных средств – MX camt.053 «Выписка по счету клиента за период»;</w:t>
      </w:r>
    </w:p>
    <w:p w:rsidR="009B1FA0" w:rsidRDefault="009B1FA0">
      <w:pPr>
        <w:pStyle w:val="newncpi"/>
      </w:pPr>
      <w:r>
        <w:t>для передачи электронного уведомления о принятии к исполнению, непринятии к исполнению запроса о движении денежных средств по счету клиента – MX camt.025 «Уведомление».</w:t>
      </w:r>
    </w:p>
    <w:p w:rsidR="009B1FA0" w:rsidRDefault="009B1FA0">
      <w:pPr>
        <w:pStyle w:val="newncpi"/>
      </w:pPr>
      <w:r>
        <w:t>Заполнение элементов МХ-сообщений, указанных в части третьей настоящего пункта, и их передача осуществляются согласно технологии ОМК.</w:t>
      </w:r>
    </w:p>
    <w:p w:rsidR="009B1FA0" w:rsidRDefault="009B1FA0">
      <w:pPr>
        <w:pStyle w:val="point"/>
      </w:pPr>
      <w:r>
        <w:t>6. Подтверждение целостности и подлинности электронных документов, указанных в части третьей пункта 5 настоящей Инструкции, осуществляется путем применения сертифицированных средств электронной цифровой подписи (далее – ЭЦП), используемых в автоматизированных системах банков (поставщиков платежных услуг) и Национального банка.</w:t>
      </w:r>
    </w:p>
    <w:p w:rsidR="009B1FA0" w:rsidRDefault="009B1FA0">
      <w:pPr>
        <w:pStyle w:val="point"/>
      </w:pPr>
      <w:r>
        <w:t>7. Программные средства, используемые для создания, передачи, приема, обработки, хранения и защиты электронных документов таможенных органов и электронных документов банков (поставщиков платежных услуг), должны обеспечивать возможность применения технологии ОМК.</w:t>
      </w:r>
    </w:p>
    <w:p w:rsidR="009B1FA0" w:rsidRDefault="009B1FA0">
      <w:pPr>
        <w:pStyle w:val="point"/>
      </w:pPr>
      <w:r>
        <w:t>8. Таможенные органы и банки (поставщики платежных услуг) обеспечивают защиту запросов о движении денежных средств и электронных документов банков (поставщиков платежных услуг) и содержащихся в них сведений при использовании информационных систем и сетей для организации электронного документооборота в соответствии с законодательством об информации, информатизации и защите информации.</w:t>
      </w:r>
    </w:p>
    <w:p w:rsidR="009B1FA0" w:rsidRDefault="009B1FA0">
      <w:pPr>
        <w:pStyle w:val="newncpi"/>
      </w:pPr>
      <w:r>
        <w:t>Хранение запросов о движении денежных средств и электронных документов банков (поставщиков платежных услуг) осуществляется в соответствии с требованиями законодательства в сфере архивного дела и делопроизводства.</w:t>
      </w:r>
    </w:p>
    <w:p w:rsidR="009B1FA0" w:rsidRDefault="009B1FA0">
      <w:pPr>
        <w:pStyle w:val="point"/>
      </w:pPr>
      <w:r>
        <w:lastRenderedPageBreak/>
        <w:t>9. Запрос о движении денежных средств создается с использованием автоматизированных информационных систем таможенных органов отдельно по каждому счету, электронному кошельку. В автоматизированной системе таможенного органа фиксируются дата и время создания запроса о движении денежных средств.</w:t>
      </w:r>
    </w:p>
    <w:p w:rsidR="009B1FA0" w:rsidRDefault="009B1FA0">
      <w:pPr>
        <w:pStyle w:val="newncpi"/>
      </w:pPr>
      <w:r>
        <w:t>Прием электронных документов банков (поставщиков платежных услуг) осуществляется с использованием ПТК «Шлюз» с фиксированием даты и времени их получения.</w:t>
      </w:r>
    </w:p>
    <w:p w:rsidR="009B1FA0" w:rsidRDefault="009B1FA0">
      <w:pPr>
        <w:pStyle w:val="point"/>
      </w:pPr>
      <w:r>
        <w:t>10. Минская центральная таможня загружает полученные от таможенных органов запросы о движении денежных средств в ПТК «Шлюз» и удостоверяет их ЭЦП, выработанной с использованием открытого ключа, сертификат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9B1FA0" w:rsidRDefault="009B1FA0">
      <w:pPr>
        <w:pStyle w:val="newncpi"/>
      </w:pPr>
      <w:r>
        <w:t>Удостоверенные запросы о движении денежных средств в автоматизированном режиме с использованием ПТК «Шлюз» и технологии ОМК направляются в банк, в котором плательщику открыт счет, электронный кошелек (далее – банк плательщика), и (или) поставщику платежных услуг, у которого плательщику открыт электронный кошелек (далее – поставщик платежных услуг плательщика).</w:t>
      </w:r>
    </w:p>
    <w:p w:rsidR="009B1FA0" w:rsidRDefault="009B1FA0">
      <w:pPr>
        <w:pStyle w:val="newncpi"/>
      </w:pPr>
      <w:r>
        <w:t>Минская центральная таможня в течение рабочего дня в автоматизированном режиме с установленной периодичностью выгружает из ПТК «Шлюз» электронные документы, содержащие сведения о движении денежных средств, и загружает их в автоматизированную информационную систему таможенного органа.</w:t>
      </w:r>
    </w:p>
    <w:p w:rsidR="009B1FA0" w:rsidRDefault="009B1FA0">
      <w:pPr>
        <w:pStyle w:val="point"/>
      </w:pPr>
      <w:r>
        <w:t>11. Банк плательщика (поставщик платежных услуг плательщика) при поступлении запроса о движении денежных средств с использованием автоматизированной системы банка плательщика (поставщика платежных услуг плательщика) формирует сведения о движении денежных средств и направляет их в Минскую центральную таможню не позднее трех рабочих дней, следующих за днем, в котором поступил данный запрос.</w:t>
      </w:r>
    </w:p>
    <w:p w:rsidR="009B1FA0" w:rsidRDefault="009B1FA0">
      <w:pPr>
        <w:pStyle w:val="point"/>
      </w:pPr>
      <w:r>
        <w:t>12. По каждому принятому запросу о движении денежных средств банк плательщика (поставщик платежных услуг плательщика) создает электронное уведомление о приеме к исполнению и в день поступления в банк (поставщику платежных услуг) запроса о движении денежных средств передает посредством технологии ОМК данное электронное уведомление в Минскую центральную таможню.</w:t>
      </w:r>
    </w:p>
    <w:p w:rsidR="009B1FA0" w:rsidRDefault="009B1FA0">
      <w:pPr>
        <w:pStyle w:val="point"/>
      </w:pPr>
      <w:r>
        <w:t>13. Запрос о движении денежных средств не принимается банком плательщика (поставщиком платежных услуг плательщика) в случае, если:</w:t>
      </w:r>
    </w:p>
    <w:p w:rsidR="009B1FA0" w:rsidRDefault="009B1FA0">
      <w:pPr>
        <w:pStyle w:val="newncpi"/>
      </w:pPr>
      <w:r>
        <w:t>указанные в запросе о движении денежных средств реквизиты счета, электронного кошелька и (или) учетный номер плательщика не соответствуют имеющимся в банке (у поставщика платежных услуг) реквизитам счета, электронного кошелька и (или) учетному номеру плательщика, в отношении которого поступил запрос;</w:t>
      </w:r>
    </w:p>
    <w:p w:rsidR="009B1FA0" w:rsidRDefault="009B1FA0">
      <w:pPr>
        <w:pStyle w:val="newncpi"/>
      </w:pPr>
      <w:r>
        <w:t>срок, указанный в запросе о движении денежных средств, превышает срок, установленный законодательством для хранения названных сведений;</w:t>
      </w:r>
    </w:p>
    <w:p w:rsidR="009B1FA0" w:rsidRDefault="009B1FA0">
      <w:pPr>
        <w:pStyle w:val="newncpi"/>
      </w:pPr>
      <w:r>
        <w:t>целостность и подлинность запроса о движении денежных средств не подтверждены ЭЦП Минской центральной таможни.</w:t>
      </w:r>
    </w:p>
    <w:p w:rsidR="009B1FA0" w:rsidRDefault="009B1FA0">
      <w:pPr>
        <w:pStyle w:val="newncpi"/>
      </w:pPr>
      <w:r>
        <w:t>Не принятый банком плательщика (поставщиком платежных услуг плательщика) запрос о движении денежных средств не подлежит возврату в таможенный орган.</w:t>
      </w:r>
    </w:p>
    <w:p w:rsidR="009B1FA0" w:rsidRDefault="009B1FA0">
      <w:pPr>
        <w:pStyle w:val="newncpi"/>
      </w:pPr>
      <w:r>
        <w:t>По каждому не принятому запросу о движении денежных средств банк плательщика (поставщик платежных услуг плательщика) создает электронное уведомление о причине непринятия к исполнению с указанием причин непринятия к исполнению и в день поступления в банк (поставщику платежных услуг) запроса о движении денежных средств передает данное уведомление в Минскую центральную таможню, которая загружает его в информационную систему таможенного органа.</w:t>
      </w:r>
    </w:p>
    <w:p w:rsidR="009B1FA0" w:rsidRDefault="009B1FA0">
      <w:pPr>
        <w:pStyle w:val="newncpi"/>
      </w:pPr>
      <w:r>
        <w:t xml:space="preserve">Таможенный орган не позднее рабочего дня, следующего за днем получения электронного уведомления, указанного в части третьей настоящего пункта, в порядке, установленном частью первой пункта 9 настоящей Инструкции, при наличии оснований </w:t>
      </w:r>
      <w:r>
        <w:lastRenderedPageBreak/>
        <w:t>повторно направляет запрос банку плательщика (поставщику платежных услуг плательщика) о движении денежных средств с устранением причин его непринятия.</w:t>
      </w:r>
    </w:p>
    <w:p w:rsidR="009B1FA0" w:rsidRDefault="009B1FA0">
      <w:pPr>
        <w:pStyle w:val="newncpi"/>
      </w:pPr>
      <w:r>
        <w:t>Если в запросе о движении денежных средств указан период представления сведений о движении денежных средств по счету плательщика (электронному кошельку плательщика), открытому в банке плательщика (у поставщика платежных услуг плательщика), и в данном периоде указан срок, определенный в абзаце третьем части первой настоящего пункта, то запрос о движении денежных средств не исполняется только в части данного срока. В этом случае банком плательщика (поставщиком платежных услуг плательщика) формируется уведомление о приеме к исполнению запроса о движении денежных средств с отметкой о том, что запрашиваемый период включает срок, определенный в абзаце третьем части первой настоящего пункта, в связи с чем электронный документ таможенного органа будет исполнен без учета указанного срока.</w:t>
      </w:r>
    </w:p>
    <w:p w:rsidR="009B1FA0" w:rsidRDefault="009B1FA0">
      <w:pPr>
        <w:pStyle w:val="point"/>
      </w:pPr>
      <w:r>
        <w:t>14. В автоматизированной системе банка плательщика (поставщика платежных услуг плательщика) фиксируются дата и время получения запроса о движении денежных средств, дата и время передачи в Минскую центральную таможню электронных документов банка (поставщика платежных услуг).</w:t>
      </w:r>
    </w:p>
    <w:p w:rsidR="009B1FA0" w:rsidRDefault="009B1FA0">
      <w:pPr>
        <w:pStyle w:val="point"/>
      </w:pPr>
      <w:r>
        <w:t>15. В случае невозможности приема и передачи запроса о движении денежных средств и электронных документов банков (поставщиков платежных услуг) из-за сбоя в работе программного обеспечения, отсутствия связи, отсутствия электроснабжения банк плательщика (поставщик платежных услуг плательщика) в течение 30 минут после возникновения сбоя информирует об этом Минскую центральную таможню с использованием модуля передачи писем/телексов ПТК «Шлюз» либо по факсу. Минская центральная таможня, получив соответствующий телекс (факс), доводит информацию до таможенных органов.</w:t>
      </w:r>
    </w:p>
    <w:p w:rsidR="009B1FA0" w:rsidRDefault="009B1FA0">
      <w:pPr>
        <w:pStyle w:val="newncpi"/>
      </w:pPr>
      <w:r>
        <w:t>Информирование банком плательщика (поставщиком платежных услуг плательщика) об устранении причин возникшего сбоя осуществляется в порядке, определенном в части первой настоящего пункта.</w:t>
      </w:r>
    </w:p>
    <w:p w:rsidR="009B1FA0" w:rsidRDefault="009B1FA0">
      <w:pPr>
        <w:pStyle w:val="newncpi"/>
      </w:pPr>
      <w:r>
        <w:t>В случае, указанном в части первой настоящего пункта, сведения о движении денежных средств представляются банком (поставщиком платежных услуг) в письменной форме на основании письменного запроса таможенного органа.</w:t>
      </w:r>
    </w:p>
    <w:p w:rsidR="009B1FA0" w:rsidRDefault="009B1FA0">
      <w:pPr>
        <w:pStyle w:val="newncpi"/>
      </w:pPr>
      <w:r>
        <w:t> </w:t>
      </w:r>
    </w:p>
    <w:p w:rsidR="009B1FA0" w:rsidRDefault="009B1FA0">
      <w:pPr>
        <w:pStyle w:val="newncpi"/>
      </w:pPr>
      <w:r>
        <w:t> </w:t>
      </w:r>
    </w:p>
    <w:p w:rsidR="00792311" w:rsidRDefault="00792311"/>
    <w:sectPr w:rsidR="00792311" w:rsidSect="009B1F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7D5" w:rsidRDefault="004D57D5" w:rsidP="009B1FA0">
      <w:pPr>
        <w:spacing w:after="0" w:line="240" w:lineRule="auto"/>
      </w:pPr>
      <w:r>
        <w:separator/>
      </w:r>
    </w:p>
  </w:endnote>
  <w:endnote w:type="continuationSeparator" w:id="0">
    <w:p w:rsidR="004D57D5" w:rsidRDefault="004D57D5" w:rsidP="009B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FA0" w:rsidRDefault="009B1F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FA0" w:rsidRDefault="009B1FA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9B1FA0" w:rsidTr="009B1FA0">
      <w:tc>
        <w:tcPr>
          <w:tcW w:w="1800" w:type="dxa"/>
          <w:shd w:val="clear" w:color="auto" w:fill="auto"/>
          <w:vAlign w:val="center"/>
        </w:tcPr>
        <w:p w:rsidR="009B1FA0" w:rsidRDefault="009B1FA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9B1FA0" w:rsidRDefault="009B1FA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9B1FA0" w:rsidRDefault="009B1FA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23.05.2025</w:t>
          </w:r>
        </w:p>
        <w:p w:rsidR="009B1FA0" w:rsidRPr="009B1FA0" w:rsidRDefault="009B1FA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9B1FA0" w:rsidRDefault="009B1F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7D5" w:rsidRDefault="004D57D5" w:rsidP="009B1FA0">
      <w:pPr>
        <w:spacing w:after="0" w:line="240" w:lineRule="auto"/>
      </w:pPr>
      <w:r>
        <w:separator/>
      </w:r>
    </w:p>
  </w:footnote>
  <w:footnote w:type="continuationSeparator" w:id="0">
    <w:p w:rsidR="004D57D5" w:rsidRDefault="004D57D5" w:rsidP="009B1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FA0" w:rsidRDefault="009B1FA0" w:rsidP="009E002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1FA0" w:rsidRDefault="009B1F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FA0" w:rsidRPr="009B1FA0" w:rsidRDefault="009B1FA0" w:rsidP="009E002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B1FA0">
      <w:rPr>
        <w:rStyle w:val="a7"/>
        <w:rFonts w:ascii="Times New Roman" w:hAnsi="Times New Roman" w:cs="Times New Roman"/>
        <w:sz w:val="24"/>
      </w:rPr>
      <w:fldChar w:fldCharType="begin"/>
    </w:r>
    <w:r w:rsidRPr="009B1FA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B1FA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9</w:t>
    </w:r>
    <w:r w:rsidRPr="009B1FA0">
      <w:rPr>
        <w:rStyle w:val="a7"/>
        <w:rFonts w:ascii="Times New Roman" w:hAnsi="Times New Roman" w:cs="Times New Roman"/>
        <w:sz w:val="24"/>
      </w:rPr>
      <w:fldChar w:fldCharType="end"/>
    </w:r>
  </w:p>
  <w:p w:rsidR="009B1FA0" w:rsidRPr="009B1FA0" w:rsidRDefault="009B1FA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FA0" w:rsidRDefault="009B1F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A0"/>
    <w:rsid w:val="004D57D5"/>
    <w:rsid w:val="00792311"/>
    <w:rsid w:val="009B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9FF29-126A-4F88-A34E-E568EF7A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B1FA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9B1FA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B1FA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B1FA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9B1FA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B1FA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9B1FA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B1FA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B1FA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B1FA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B1FA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B1FA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B1F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B1FA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B1FA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B1FA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B1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1FA0"/>
  </w:style>
  <w:style w:type="paragraph" w:styleId="a5">
    <w:name w:val="footer"/>
    <w:basedOn w:val="a"/>
    <w:link w:val="a6"/>
    <w:uiPriority w:val="99"/>
    <w:unhideWhenUsed/>
    <w:rsid w:val="009B1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1FA0"/>
  </w:style>
  <w:style w:type="character" w:styleId="a7">
    <w:name w:val="page number"/>
    <w:basedOn w:val="a0"/>
    <w:uiPriority w:val="99"/>
    <w:semiHidden/>
    <w:unhideWhenUsed/>
    <w:rsid w:val="009B1FA0"/>
  </w:style>
  <w:style w:type="table" w:styleId="a8">
    <w:name w:val="Table Grid"/>
    <w:basedOn w:val="a1"/>
    <w:uiPriority w:val="39"/>
    <w:rsid w:val="009B1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3353</Words>
  <Characters>24651</Characters>
  <Application>Microsoft Office Word</Application>
  <DocSecurity>0</DocSecurity>
  <Lines>456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Татьяна Владимировна</dc:creator>
  <cp:keywords/>
  <dc:description/>
  <cp:lastModifiedBy>Шишкова Татьяна Владимировна</cp:lastModifiedBy>
  <cp:revision>1</cp:revision>
  <dcterms:created xsi:type="dcterms:W3CDTF">2025-05-23T12:57:00Z</dcterms:created>
  <dcterms:modified xsi:type="dcterms:W3CDTF">2025-05-23T12:58:00Z</dcterms:modified>
</cp:coreProperties>
</file>